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bookmarkStart w:id="33" w:name="_GoBack"/>
      <w:bookmarkEnd w:id="33"/>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伊犁州特克斯县第</w:t>
      </w:r>
      <w:r>
        <w:rPr>
          <w:rFonts w:hint="eastAsia" w:ascii="方正小标宋_GBK" w:hAnsi="华文中宋" w:eastAsia="方正小标宋_GBK" w:cs="宋体"/>
          <w:b/>
          <w:kern w:val="0"/>
          <w:sz w:val="48"/>
          <w:szCs w:val="48"/>
          <w:lang w:val="en-US" w:eastAsia="zh-CN"/>
        </w:rPr>
        <w:t>六</w:t>
      </w:r>
      <w:r>
        <w:rPr>
          <w:rFonts w:hint="eastAsia" w:ascii="方正小标宋_GBK" w:hAnsi="华文中宋" w:eastAsia="方正小标宋_GBK" w:cs="宋体"/>
          <w:b/>
          <w:kern w:val="0"/>
          <w:sz w:val="48"/>
          <w:szCs w:val="48"/>
        </w:rPr>
        <w:t>小学整体支出绩效自评报告</w:t>
      </w:r>
    </w:p>
    <w:p>
      <w:pPr>
        <w:spacing w:line="540" w:lineRule="exact"/>
        <w:jc w:val="center"/>
        <w:rPr>
          <w:rFonts w:ascii="方正小标宋_GBK" w:hAnsi="华文中宋" w:eastAsia="方正小标宋_GBK" w:cs="宋体"/>
          <w:b/>
          <w:kern w:val="0"/>
          <w:sz w:val="48"/>
          <w:szCs w:val="48"/>
        </w:rPr>
      </w:pP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特克斯县第</w:t>
      </w:r>
      <w:r>
        <w:rPr>
          <w:rFonts w:hint="eastAsia" w:hAnsi="宋体" w:eastAsia="仿宋_GB2312" w:cs="宋体"/>
          <w:kern w:val="0"/>
          <w:sz w:val="36"/>
          <w:szCs w:val="36"/>
          <w:lang w:val="en-US" w:eastAsia="zh-CN"/>
        </w:rPr>
        <w:t>六</w:t>
      </w:r>
      <w:r>
        <w:rPr>
          <w:rFonts w:hint="eastAsia" w:hAnsi="宋体" w:eastAsia="仿宋_GB2312" w:cs="宋体"/>
          <w:kern w:val="0"/>
          <w:sz w:val="36"/>
          <w:szCs w:val="36"/>
          <w:lang w:eastAsia="zh-CN"/>
        </w:rPr>
        <w:t>小学</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28</w:t>
      </w:r>
      <w:r>
        <w:rPr>
          <w:rFonts w:hint="eastAsia" w:hAnsi="宋体" w:eastAsia="仿宋_GB2312" w:cs="宋体"/>
          <w:kern w:val="0"/>
          <w:sz w:val="36"/>
          <w:szCs w:val="36"/>
        </w:rPr>
        <w:t xml:space="preserve">  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1.宣传贯彻党的路线、方针、政策，坚持正确的办学方向。</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2.负责党的理论教育研讨工作，指导干部学习党的理论，培养合格的党员干部。</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3.编制学校教学计划，管理，协调教育活动，开展教学情况。</w:t>
      </w:r>
    </w:p>
    <w:p>
      <w:pPr>
        <w:spacing w:line="360" w:lineRule="auto"/>
        <w:ind w:firstLine="544" w:firstLineChars="200"/>
        <w:rPr>
          <w:rStyle w:val="16"/>
          <w:rFonts w:asciiTheme="minorEastAsia" w:hAnsiTheme="minorEastAsia"/>
          <w:bCs w:val="0"/>
          <w:color w:val="FF0000"/>
          <w:spacing w:val="-4"/>
          <w:sz w:val="28"/>
          <w:szCs w:val="28"/>
        </w:rPr>
      </w:pPr>
      <w:r>
        <w:rPr>
          <w:rStyle w:val="16"/>
          <w:rFonts w:hint="eastAsia" w:ascii="仿宋_GB2312" w:hAnsi="楷体" w:eastAsia="仿宋_GB2312"/>
          <w:b w:val="0"/>
          <w:spacing w:val="-4"/>
          <w:sz w:val="28"/>
          <w:szCs w:val="28"/>
        </w:rPr>
        <w:t>4.完成全校交办的其他工作。</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特克斯县第六小学</w:t>
      </w:r>
      <w:r>
        <w:rPr>
          <w:rStyle w:val="16"/>
          <w:rFonts w:hint="eastAsia" w:ascii="仿宋_GB2312" w:hAnsi="楷体" w:eastAsia="仿宋_GB2312"/>
          <w:b w:val="0"/>
          <w:spacing w:val="-4"/>
          <w:sz w:val="28"/>
          <w:szCs w:val="28"/>
        </w:rPr>
        <w:t>无下属预算单位，下设</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个处室，分别是：办公室、教务处、德育处、总务处。</w:t>
      </w:r>
    </w:p>
    <w:p>
      <w:pPr>
        <w:spacing w:line="360" w:lineRule="auto"/>
        <w:ind w:firstLine="544" w:firstLineChars="200"/>
        <w:rPr>
          <w:rStyle w:val="16"/>
          <w:rFonts w:ascii="仿宋_GB2312" w:hAnsi="楷体" w:eastAsia="仿宋_GB2312"/>
          <w:b w:val="0"/>
          <w:spacing w:val="-4"/>
          <w:sz w:val="28"/>
          <w:szCs w:val="28"/>
        </w:rPr>
      </w:pPr>
      <w:bookmarkStart w:id="5" w:name="_Toc70450293"/>
      <w:r>
        <w:rPr>
          <w:rStyle w:val="16"/>
          <w:rFonts w:hint="eastAsia" w:ascii="仿宋_GB2312" w:hAnsi="楷体" w:eastAsia="仿宋_GB2312"/>
          <w:b w:val="0"/>
          <w:spacing w:val="-4"/>
          <w:sz w:val="28"/>
          <w:szCs w:val="28"/>
        </w:rPr>
        <w:t>（2）2021年特克斯县第</w:t>
      </w:r>
      <w:r>
        <w:rPr>
          <w:rStyle w:val="16"/>
          <w:rFonts w:hint="eastAsia" w:ascii="仿宋_GB2312" w:hAnsi="楷体" w:eastAsia="仿宋_GB2312"/>
          <w:b w:val="0"/>
          <w:spacing w:val="-4"/>
          <w:sz w:val="28"/>
          <w:szCs w:val="28"/>
          <w:lang w:val="en-US" w:eastAsia="zh-CN"/>
        </w:rPr>
        <w:t>六</w:t>
      </w:r>
      <w:r>
        <w:rPr>
          <w:rStyle w:val="16"/>
          <w:rFonts w:hint="eastAsia" w:ascii="仿宋_GB2312" w:hAnsi="楷体" w:eastAsia="仿宋_GB2312"/>
          <w:b w:val="0"/>
          <w:spacing w:val="-4"/>
          <w:sz w:val="28"/>
          <w:szCs w:val="28"/>
        </w:rPr>
        <w:t>小学实有在职人员为</w:t>
      </w:r>
      <w:r>
        <w:rPr>
          <w:rStyle w:val="16"/>
          <w:rFonts w:hint="eastAsia" w:ascii="仿宋_GB2312" w:hAnsi="楷体" w:eastAsia="仿宋_GB2312"/>
          <w:b w:val="0"/>
          <w:spacing w:val="-4"/>
          <w:sz w:val="28"/>
          <w:szCs w:val="28"/>
          <w:lang w:val="en-US" w:eastAsia="zh-CN"/>
        </w:rPr>
        <w:t>86</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事业在职人员</w:t>
      </w:r>
      <w:r>
        <w:rPr>
          <w:rStyle w:val="16"/>
          <w:rFonts w:hint="eastAsia" w:ascii="仿宋_GB2312" w:hAnsi="楷体" w:eastAsia="仿宋_GB2312"/>
          <w:b w:val="0"/>
          <w:spacing w:val="-4"/>
          <w:sz w:val="28"/>
          <w:szCs w:val="28"/>
          <w:highlight w:val="none"/>
          <w:lang w:val="en-US" w:eastAsia="zh-CN"/>
        </w:rPr>
        <w:t>86</w:t>
      </w:r>
      <w:r>
        <w:rPr>
          <w:rStyle w:val="16"/>
          <w:rFonts w:hint="eastAsia" w:ascii="仿宋_GB2312" w:hAnsi="楷体" w:eastAsia="仿宋_GB2312"/>
          <w:b w:val="0"/>
          <w:spacing w:val="-4"/>
          <w:sz w:val="28"/>
          <w:szCs w:val="28"/>
          <w:highlight w:val="none"/>
        </w:rPr>
        <w:t>人（上年</w:t>
      </w:r>
      <w:r>
        <w:rPr>
          <w:rStyle w:val="16"/>
          <w:rFonts w:hint="eastAsia" w:ascii="仿宋_GB2312" w:hAnsi="楷体" w:eastAsia="仿宋_GB2312"/>
          <w:b w:val="0"/>
          <w:spacing w:val="-4"/>
          <w:sz w:val="28"/>
          <w:szCs w:val="28"/>
          <w:highlight w:val="none"/>
          <w:lang w:val="en-US" w:eastAsia="zh-CN"/>
        </w:rPr>
        <w:t>63</w:t>
      </w:r>
      <w:r>
        <w:rPr>
          <w:rStyle w:val="16"/>
          <w:rFonts w:hint="eastAsia" w:ascii="仿宋_GB2312" w:hAnsi="楷体" w:eastAsia="仿宋_GB2312"/>
          <w:b w:val="0"/>
          <w:spacing w:val="-4"/>
          <w:sz w:val="28"/>
          <w:szCs w:val="28"/>
          <w:highlight w:val="none"/>
        </w:rPr>
        <w:t>人），比上年增加</w:t>
      </w:r>
      <w:r>
        <w:rPr>
          <w:rStyle w:val="16"/>
          <w:rFonts w:hint="eastAsia" w:ascii="仿宋_GB2312" w:hAnsi="楷体" w:eastAsia="仿宋_GB2312"/>
          <w:b w:val="0"/>
          <w:spacing w:val="-4"/>
          <w:sz w:val="28"/>
          <w:szCs w:val="28"/>
          <w:highlight w:val="none"/>
          <w:lang w:val="en-US" w:eastAsia="zh-CN"/>
        </w:rPr>
        <w:t>23</w:t>
      </w:r>
      <w:r>
        <w:rPr>
          <w:rStyle w:val="16"/>
          <w:rFonts w:hint="eastAsia" w:ascii="仿宋_GB2312" w:hAnsi="楷体" w:eastAsia="仿宋_GB2312"/>
          <w:b w:val="0"/>
          <w:spacing w:val="-4"/>
          <w:sz w:val="28"/>
          <w:szCs w:val="28"/>
          <w:highlight w:val="none"/>
        </w:rPr>
        <w:t>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实有离休人员0人（上年0人）,与上年一致。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人）,与上年一致。</w:t>
      </w:r>
    </w:p>
    <w:p>
      <w:pPr>
        <w:pStyle w:val="5"/>
        <w:spacing w:line="360" w:lineRule="auto"/>
        <w:ind w:firstLine="562" w:firstLineChars="200"/>
        <w:rPr>
          <w:rStyle w:val="16"/>
          <w:rFonts w:ascii="仿宋" w:hAnsi="仿宋" w:eastAsia="仿宋"/>
          <w:b/>
          <w:bCs/>
        </w:rPr>
      </w:pPr>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eastAsia" w:ascii="仿宋_GB2312" w:hAnsi="楷体" w:eastAsia="仿宋_GB2312"/>
          <w:b w:val="0"/>
          <w:bCs w:val="0"/>
          <w:color w:val="auto"/>
          <w:spacing w:val="-4"/>
          <w:sz w:val="28"/>
          <w:szCs w:val="28"/>
        </w:rPr>
      </w:pPr>
      <w:bookmarkStart w:id="6" w:name="_Toc70450294"/>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1</w:t>
      </w: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rPr>
        <w:t>确保人员经费的合理分配。</w:t>
      </w:r>
    </w:p>
    <w:p>
      <w:pPr>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2</w:t>
      </w: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rPr>
        <w:t>完成在职教师工资发放、按时完成社保、公积金缴纳。</w:t>
      </w:r>
    </w:p>
    <w:p>
      <w:pPr>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3</w:t>
      </w: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rPr>
        <w:t>及时完成退休教师取暖费、计生奖励金目发放。</w:t>
      </w:r>
    </w:p>
    <w:p>
      <w:pPr>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4</w:t>
      </w: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rPr>
        <w:t>完成每年教学任务。</w:t>
      </w:r>
      <w:r>
        <w:rPr>
          <w:rStyle w:val="16"/>
          <w:rFonts w:hint="eastAsia" w:ascii="仿宋_GB2312" w:hAnsi="楷体" w:eastAsia="仿宋_GB2312"/>
          <w:b w:val="0"/>
          <w:bCs w:val="0"/>
          <w:color w:val="auto"/>
          <w:spacing w:val="-4"/>
          <w:sz w:val="28"/>
          <w:szCs w:val="28"/>
          <w:lang w:eastAsia="zh-CN"/>
        </w:rPr>
        <w:t>全</w:t>
      </w:r>
      <w:r>
        <w:rPr>
          <w:rStyle w:val="16"/>
          <w:rFonts w:hint="eastAsia" w:ascii="仿宋_GB2312" w:hAnsi="楷体" w:eastAsia="仿宋_GB2312"/>
          <w:b w:val="0"/>
          <w:bCs w:val="0"/>
          <w:color w:val="auto"/>
          <w:spacing w:val="-4"/>
          <w:sz w:val="28"/>
          <w:szCs w:val="28"/>
        </w:rPr>
        <w:t>面推进各类教师能力提升培训，加强教师队伍建设。</w:t>
      </w:r>
      <w:r>
        <w:rPr>
          <w:rStyle w:val="16"/>
          <w:rFonts w:hint="eastAsia" w:ascii="仿宋_GB2312" w:hAnsi="楷体" w:eastAsia="仿宋_GB2312"/>
          <w:b w:val="0"/>
          <w:bCs w:val="0"/>
          <w:color w:val="auto"/>
          <w:spacing w:val="-4"/>
          <w:sz w:val="28"/>
          <w:szCs w:val="28"/>
          <w:lang w:eastAsia="zh-CN"/>
        </w:rPr>
        <w:t>完成好</w:t>
      </w:r>
      <w:r>
        <w:rPr>
          <w:rStyle w:val="16"/>
          <w:rFonts w:hint="eastAsia" w:ascii="仿宋_GB2312" w:hAnsi="楷体" w:eastAsia="仿宋_GB2312"/>
          <w:b w:val="0"/>
          <w:bCs w:val="0"/>
          <w:color w:val="auto"/>
          <w:spacing w:val="-4"/>
          <w:sz w:val="28"/>
          <w:szCs w:val="28"/>
        </w:rPr>
        <w:t>教育教学管理工作。</w:t>
      </w:r>
    </w:p>
    <w:p>
      <w:pPr>
        <w:pStyle w:val="4"/>
        <w:spacing w:line="360" w:lineRule="auto"/>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w:t>
      </w:r>
      <w:r>
        <w:rPr>
          <w:rStyle w:val="16"/>
          <w:rFonts w:hint="eastAsia" w:ascii="仿宋_GB2312" w:hAnsi="楷体" w:eastAsia="仿宋_GB2312"/>
          <w:b w:val="0"/>
          <w:spacing w:val="-4"/>
          <w:sz w:val="28"/>
          <w:szCs w:val="28"/>
          <w:lang w:val="en-US" w:eastAsia="zh-CN"/>
        </w:rPr>
        <w:t>单位</w:t>
      </w:r>
      <w:r>
        <w:rPr>
          <w:rStyle w:val="16"/>
          <w:rFonts w:hint="eastAsia" w:ascii="仿宋_GB2312" w:hAnsi="楷体" w:eastAsia="仿宋_GB2312"/>
          <w:b w:val="0"/>
          <w:spacing w:val="-4"/>
          <w:sz w:val="28"/>
          <w:szCs w:val="28"/>
        </w:rPr>
        <w:t>预算为</w:t>
      </w:r>
      <w:r>
        <w:rPr>
          <w:rStyle w:val="16"/>
          <w:rFonts w:hint="eastAsia" w:ascii="仿宋_GB2312" w:hAnsi="楷体" w:eastAsia="仿宋_GB2312"/>
          <w:b w:val="0"/>
          <w:spacing w:val="-4"/>
          <w:sz w:val="28"/>
          <w:szCs w:val="28"/>
          <w:lang w:val="en-US" w:eastAsia="zh-CN"/>
        </w:rPr>
        <w:t>1217.32</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1217.32</w:t>
      </w:r>
      <w:r>
        <w:rPr>
          <w:rStyle w:val="16"/>
          <w:rFonts w:hint="eastAsia" w:ascii="仿宋_GB2312" w:hAnsi="楷体" w:eastAsia="仿宋_GB2312"/>
          <w:b w:val="0"/>
          <w:spacing w:val="-4"/>
          <w:sz w:val="28"/>
          <w:szCs w:val="28"/>
        </w:rPr>
        <w:t>万元，年中追加资金</w:t>
      </w:r>
      <w:r>
        <w:rPr>
          <w:rStyle w:val="16"/>
          <w:rFonts w:hint="eastAsia" w:ascii="仿宋_GB2312" w:hAnsi="楷体" w:eastAsia="仿宋_GB2312"/>
          <w:b w:val="0"/>
          <w:spacing w:val="-4"/>
          <w:sz w:val="28"/>
          <w:szCs w:val="28"/>
          <w:lang w:val="en-US" w:eastAsia="zh-CN"/>
        </w:rPr>
        <w:t>556.9</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调整率</w:t>
      </w:r>
      <w:r>
        <w:rPr>
          <w:rStyle w:val="16"/>
          <w:rFonts w:hint="eastAsia" w:ascii="仿宋_GB2312" w:hAnsi="楷体" w:eastAsia="仿宋_GB2312"/>
          <w:b w:val="0"/>
          <w:spacing w:val="-4"/>
          <w:sz w:val="28"/>
          <w:szCs w:val="28"/>
          <w:lang w:val="en-US" w:eastAsia="zh-CN"/>
        </w:rPr>
        <w:t>84.33</w:t>
      </w:r>
      <w:r>
        <w:rPr>
          <w:rStyle w:val="16"/>
          <w:rFonts w:hint="eastAsia" w:ascii="仿宋_GB2312" w:hAnsi="楷体" w:eastAsia="仿宋_GB2312"/>
          <w:b w:val="0"/>
          <w:spacing w:val="-4"/>
          <w:sz w:val="28"/>
          <w:szCs w:val="28"/>
        </w:rPr>
        <w:t>%。对比上年</w:t>
      </w:r>
      <w:r>
        <w:rPr>
          <w:rStyle w:val="16"/>
          <w:rFonts w:hint="eastAsia" w:ascii="仿宋_GB2312" w:hAnsi="楷体" w:eastAsia="仿宋_GB2312"/>
          <w:b w:val="0"/>
          <w:spacing w:val="-4"/>
          <w:sz w:val="28"/>
          <w:szCs w:val="28"/>
          <w:lang w:val="en-US" w:eastAsia="zh-CN"/>
        </w:rPr>
        <w:t>888.56</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328.76</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37.0</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1217.32</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1217.32</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％，主要用于</w:t>
      </w:r>
      <w:r>
        <w:rPr>
          <w:rStyle w:val="16"/>
          <w:rFonts w:hint="eastAsia" w:ascii="仿宋_GB2312" w:hAnsi="楷体" w:eastAsia="仿宋_GB2312"/>
          <w:b w:val="0"/>
          <w:spacing w:val="-4"/>
          <w:sz w:val="28"/>
          <w:szCs w:val="28"/>
          <w:lang w:val="en-US" w:eastAsia="zh-CN"/>
        </w:rPr>
        <w:t>特克斯县第六小学</w:t>
      </w:r>
      <w:r>
        <w:rPr>
          <w:rStyle w:val="16"/>
          <w:rFonts w:hint="eastAsia" w:ascii="仿宋_GB2312" w:hAnsi="楷体" w:eastAsia="仿宋_GB2312"/>
          <w:b w:val="0"/>
          <w:spacing w:val="-4"/>
          <w:sz w:val="28"/>
          <w:szCs w:val="28"/>
        </w:rPr>
        <w:t>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1057.22</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131.05</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29.05</w:t>
      </w:r>
      <w:r>
        <w:rPr>
          <w:rStyle w:val="16"/>
          <w:rFonts w:hint="eastAsia" w:ascii="仿宋_GB2312" w:hAnsi="楷体" w:eastAsia="仿宋_GB2312"/>
          <w:b w:val="0"/>
          <w:spacing w:val="-4"/>
          <w:sz w:val="28"/>
          <w:szCs w:val="28"/>
        </w:rPr>
        <w:t>万元，主要用于：人员支出和公用支出。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6"/>
          <w:rFonts w:ascii="仿宋_GB2312" w:hAnsi="楷体" w:eastAsia="仿宋_GB2312"/>
          <w:b w:val="0"/>
          <w:spacing w:val="-4"/>
          <w:sz w:val="28"/>
          <w:szCs w:val="28"/>
          <w:highlight w:val="none"/>
        </w:rPr>
      </w:pPr>
      <w:bookmarkStart w:id="9" w:name="_Toc70450296"/>
      <w:r>
        <w:rPr>
          <w:rStyle w:val="16"/>
          <w:rFonts w:hint="eastAsia" w:ascii="仿宋_GB2312" w:hAnsi="楷体" w:eastAsia="仿宋_GB2312"/>
          <w:b w:val="0"/>
          <w:spacing w:val="-4"/>
          <w:sz w:val="28"/>
          <w:szCs w:val="28"/>
          <w:highlight w:val="none"/>
        </w:rPr>
        <w:t>（2）项目支出0万元，占总支出的0％。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3</w:t>
      </w:r>
      <w:r>
        <w:rPr>
          <w:rStyle w:val="16"/>
          <w:rFonts w:hint="eastAsia" w:ascii="仿宋_GB2312" w:hAnsi="楷体" w:eastAsia="仿宋_GB2312"/>
          <w:b w:val="0"/>
          <w:spacing w:val="-4"/>
          <w:sz w:val="28"/>
          <w:szCs w:val="28"/>
          <w:highlight w:val="none"/>
        </w:rPr>
        <w:t>）本年度重点项目支出0万元，重点支出保障率0%。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（4）本年度我单位无政府采购预算。</w:t>
      </w:r>
    </w:p>
    <w:p>
      <w:pPr>
        <w:pStyle w:val="5"/>
        <w:spacing w:line="360" w:lineRule="auto"/>
        <w:ind w:firstLine="562" w:firstLine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pageBreakBefore w:val="0"/>
        <w:kinsoku/>
        <w:wordWrap/>
        <w:overflowPunct/>
        <w:topLinePunct w:val="0"/>
        <w:autoSpaceDE/>
        <w:autoSpaceDN/>
        <w:bidi w:val="0"/>
        <w:adjustRightInd/>
        <w:spacing w:line="560" w:lineRule="exact"/>
        <w:ind w:firstLine="560" w:firstLineChars="200"/>
        <w:rPr>
          <w:rStyle w:val="16"/>
          <w:rFonts w:ascii="仿宋_GB2312" w:eastAsia="仿宋_GB2312"/>
          <w:b w:val="0"/>
          <w:bCs w:val="0"/>
          <w:sz w:val="28"/>
          <w:szCs w:val="36"/>
        </w:rPr>
      </w:pPr>
      <w:bookmarkStart w:id="10" w:name="_Toc70450297"/>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本次项目支出绩效自评采用因素分析法方法，原因是：</w:t>
      </w:r>
      <w:r>
        <w:rPr>
          <w:rStyle w:val="16"/>
          <w:rFonts w:hint="eastAsia" w:ascii="仿宋_GB2312" w:hAnsi="楷体" w:eastAsia="仿宋_GB2312"/>
          <w:b w:val="0"/>
          <w:spacing w:val="-4"/>
          <w:sz w:val="28"/>
          <w:szCs w:val="28"/>
          <w:lang w:val="en-US" w:eastAsia="zh-CN"/>
        </w:rPr>
        <w:t>特克斯县第六小学</w:t>
      </w:r>
      <w:r>
        <w:rPr>
          <w:rStyle w:val="16"/>
          <w:rFonts w:hint="eastAsia" w:ascii="仿宋_GB2312" w:hAnsi="楷体" w:eastAsia="仿宋_GB2312"/>
          <w:b w:val="0"/>
          <w:spacing w:val="-4"/>
          <w:sz w:val="28"/>
          <w:szCs w:val="28"/>
        </w:rPr>
        <w:t>从数量上确定各因素对分析指标影响方向和影响程度一种方法，运用因素分析法应注意因素关联性、顺序性。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（3）整体支出评价涉及对象及范围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涉及对象：本次评价对象是特克斯县第</w:t>
      </w:r>
      <w:r>
        <w:rPr>
          <w:rStyle w:val="16"/>
          <w:rFonts w:hint="eastAsia" w:ascii="仿宋_GB2312" w:hAnsi="楷体" w:eastAsia="仿宋_GB2312"/>
          <w:b w:val="0"/>
          <w:spacing w:val="-4"/>
          <w:sz w:val="28"/>
          <w:szCs w:val="28"/>
          <w:lang w:val="en-US" w:eastAsia="zh-CN"/>
        </w:rPr>
        <w:t>六</w:t>
      </w:r>
      <w:r>
        <w:rPr>
          <w:rStyle w:val="16"/>
          <w:rFonts w:hint="eastAsia" w:ascii="仿宋_GB2312" w:hAnsi="楷体" w:eastAsia="仿宋_GB2312"/>
          <w:b w:val="0"/>
          <w:spacing w:val="-4"/>
          <w:sz w:val="28"/>
          <w:szCs w:val="28"/>
        </w:rPr>
        <w:t>小学所有财政资金支出活动。</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整体支出评价范围：</w:t>
      </w:r>
    </w:p>
    <w:p>
      <w:pPr>
        <w:spacing w:line="360" w:lineRule="auto"/>
        <w:ind w:firstLine="544" w:firstLineChars="200"/>
        <w:rPr>
          <w:rStyle w:val="16"/>
          <w:rFonts w:hint="eastAsia"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1217.32</w:t>
      </w:r>
      <w:r>
        <w:rPr>
          <w:rStyle w:val="16"/>
          <w:rFonts w:hint="eastAsia" w:ascii="仿宋_GB2312" w:hAnsi="楷体" w:eastAsia="仿宋_GB2312"/>
          <w:b w:val="0"/>
          <w:spacing w:val="-4"/>
          <w:sz w:val="28"/>
          <w:szCs w:val="28"/>
        </w:rPr>
        <w:t>万元，其中：工资福利支出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商品和服务支出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对个人和家庭的补助。</w:t>
      </w:r>
    </w:p>
    <w:p>
      <w:pPr>
        <w:spacing w:line="360" w:lineRule="auto"/>
        <w:ind w:firstLine="544" w:firstLineChars="200"/>
        <w:rPr>
          <w:rStyle w:val="16"/>
          <w:rFonts w:hint="eastAsia" w:ascii="仿宋_GB2312" w:hAnsi="楷体" w:eastAsia="仿宋_GB2312"/>
          <w:b w:val="0"/>
          <w:bCs/>
          <w:spacing w:val="-4"/>
          <w:sz w:val="28"/>
          <w:szCs w:val="28"/>
          <w:highlight w:val="none"/>
          <w:lang w:eastAsia="zh-CN"/>
        </w:rPr>
      </w:pPr>
      <w:r>
        <w:rPr>
          <w:rStyle w:val="16"/>
          <w:rFonts w:hint="eastAsia" w:ascii="仿宋_GB2312" w:hAnsi="楷体" w:eastAsia="仿宋_GB2312"/>
          <w:b w:val="0"/>
          <w:spacing w:val="-4"/>
          <w:sz w:val="28"/>
          <w:szCs w:val="28"/>
          <w:highlight w:val="none"/>
        </w:rPr>
        <w:fldChar w:fldCharType="begin"/>
      </w:r>
      <w:r>
        <w:rPr>
          <w:rStyle w:val="16"/>
          <w:rFonts w:hint="eastAsia" w:ascii="仿宋_GB2312" w:hAnsi="楷体" w:eastAsia="仿宋_GB2312"/>
          <w:b w:val="0"/>
          <w:spacing w:val="-4"/>
          <w:sz w:val="28"/>
          <w:szCs w:val="28"/>
          <w:highlight w:val="none"/>
        </w:rPr>
        <w:instrText xml:space="preserve"> = 2 \* GB3 </w:instrText>
      </w:r>
      <w:r>
        <w:rPr>
          <w:rStyle w:val="16"/>
          <w:rFonts w:hint="eastAsia"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②</w:t>
      </w:r>
      <w:r>
        <w:rPr>
          <w:rStyle w:val="16"/>
          <w:rFonts w:hint="eastAsia"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bookmarkStart w:id="13" w:name="_Toc70450300"/>
      <w:r>
        <w:rPr>
          <w:rStyle w:val="16"/>
          <w:rFonts w:ascii="仿宋" w:hAnsi="仿宋" w:eastAsia="仿宋"/>
          <w:b/>
          <w:bCs/>
        </w:rPr>
        <w:t>1</w:t>
      </w:r>
      <w:r>
        <w:rPr>
          <w:rStyle w:val="16"/>
          <w:rFonts w:hint="eastAsia" w:ascii="仿宋" w:hAnsi="仿宋" w:eastAsia="仿宋"/>
          <w:b/>
          <w:bCs/>
        </w:rPr>
        <w:t>、预算编制管理</w:t>
      </w:r>
      <w:bookmarkEnd w:id="12"/>
    </w:p>
    <w:p>
      <w:pPr>
        <w:pStyle w:val="5"/>
        <w:spacing w:line="360" w:lineRule="auto"/>
        <w:ind w:firstLine="544" w:firstLineChars="200"/>
        <w:rPr>
          <w:rStyle w:val="16"/>
          <w:rFonts w:hint="eastAsia" w:ascii="仿宋_GB2312" w:hAnsi="楷体" w:eastAsia="仿宋_GB2312"/>
          <w:b w:val="0"/>
          <w:bCs/>
          <w:spacing w:val="-4"/>
          <w:sz w:val="28"/>
          <w:szCs w:val="28"/>
          <w:lang w:val="zh-CN"/>
        </w:rPr>
      </w:pPr>
      <w:r>
        <w:rPr>
          <w:rStyle w:val="16"/>
          <w:rFonts w:hint="eastAsia" w:ascii="仿宋_GB2312" w:hAnsi="楷体" w:eastAsia="仿宋_GB2312"/>
          <w:b w:val="0"/>
          <w:bCs/>
          <w:spacing w:val="-4"/>
          <w:sz w:val="28"/>
          <w:szCs w:val="28"/>
        </w:rPr>
        <w:t>特克斯县第</w:t>
      </w:r>
      <w:r>
        <w:rPr>
          <w:rStyle w:val="16"/>
          <w:rFonts w:hint="eastAsia" w:ascii="仿宋_GB2312" w:hAnsi="楷体" w:eastAsia="仿宋_GB2312"/>
          <w:b w:val="0"/>
          <w:bCs/>
          <w:spacing w:val="-4"/>
          <w:sz w:val="28"/>
          <w:szCs w:val="28"/>
          <w:lang w:val="en-US" w:eastAsia="zh-CN"/>
        </w:rPr>
        <w:t>六</w:t>
      </w:r>
      <w:r>
        <w:rPr>
          <w:rStyle w:val="16"/>
          <w:rFonts w:hint="eastAsia" w:ascii="仿宋_GB2312" w:hAnsi="楷体" w:eastAsia="仿宋_GB2312"/>
          <w:b w:val="0"/>
          <w:bCs/>
          <w:spacing w:val="-4"/>
          <w:sz w:val="28"/>
          <w:szCs w:val="28"/>
        </w:rPr>
        <w:t>小学严格按照财政部门预算编制与预算调整的工作要求，在预算编制、分配依据充分的条件下，切实做好“先定目标再编预算”，确保预算分配结果合理。同时按照特克斯县</w:t>
      </w:r>
      <w:r>
        <w:rPr>
          <w:rStyle w:val="16"/>
          <w:rFonts w:hint="eastAsia" w:ascii="仿宋_GB2312" w:hAnsi="楷体" w:eastAsia="仿宋_GB2312"/>
          <w:b w:val="0"/>
          <w:bCs/>
          <w:spacing w:val="-4"/>
          <w:sz w:val="28"/>
          <w:szCs w:val="28"/>
          <w:lang w:val="en-US" w:eastAsia="zh-CN"/>
        </w:rPr>
        <w:t>财政局</w:t>
      </w:r>
      <w:r>
        <w:rPr>
          <w:rStyle w:val="16"/>
          <w:rFonts w:hint="eastAsia" w:ascii="仿宋_GB2312" w:hAnsi="楷体" w:eastAsia="仿宋_GB2312"/>
          <w:b w:val="0"/>
          <w:bCs/>
          <w:spacing w:val="-4"/>
          <w:sz w:val="28"/>
          <w:szCs w:val="28"/>
        </w:rPr>
        <w:t>要求，部门预算及绩效目标在特克斯县人民政府政务网站公开，</w:t>
      </w:r>
      <w:r>
        <w:rPr>
          <w:rStyle w:val="16"/>
          <w:rFonts w:hint="eastAsia" w:ascii="仿宋_GB2312" w:hAnsi="楷体" w:eastAsia="仿宋_GB2312"/>
          <w:b w:val="0"/>
          <w:bCs/>
          <w:spacing w:val="-4"/>
          <w:sz w:val="28"/>
          <w:szCs w:val="28"/>
          <w:lang w:val="zh-CN"/>
        </w:rPr>
        <w:t>广泛接受社会监督。</w:t>
      </w:r>
    </w:p>
    <w:bookmarkEnd w:id="13"/>
    <w:p>
      <w:pPr>
        <w:pStyle w:val="5"/>
        <w:spacing w:line="360" w:lineRule="auto"/>
        <w:ind w:firstLine="562" w:firstLineChars="200"/>
        <w:rPr>
          <w:rStyle w:val="16"/>
          <w:rFonts w:ascii="仿宋" w:hAnsi="仿宋" w:eastAsia="仿宋"/>
          <w:b/>
          <w:bCs/>
        </w:rPr>
      </w:pPr>
      <w:bookmarkStart w:id="14" w:name="_Toc70450301"/>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特克斯县第</w:t>
      </w:r>
      <w:r>
        <w:rPr>
          <w:rStyle w:val="16"/>
          <w:rFonts w:hint="eastAsia" w:ascii="仿宋_GB2312" w:hAnsi="楷体" w:eastAsia="仿宋_GB2312"/>
          <w:b w:val="0"/>
          <w:spacing w:val="-4"/>
          <w:sz w:val="28"/>
          <w:szCs w:val="28"/>
          <w:lang w:val="en-US" w:eastAsia="zh-CN"/>
        </w:rPr>
        <w:t>六</w:t>
      </w:r>
      <w:r>
        <w:rPr>
          <w:rStyle w:val="16"/>
          <w:rFonts w:hint="eastAsia" w:ascii="仿宋_GB2312" w:hAnsi="楷体" w:eastAsia="仿宋_GB2312"/>
          <w:b w:val="0"/>
          <w:spacing w:val="-4"/>
          <w:sz w:val="28"/>
          <w:szCs w:val="28"/>
        </w:rPr>
        <w:t>小学按照财政要求基本支出分月度申报资金使用计划，由财政部门按照进度每月按期拨付，人员支出按照工资计划发放工资；依照特克斯县第</w:t>
      </w:r>
      <w:r>
        <w:rPr>
          <w:rStyle w:val="16"/>
          <w:rFonts w:hint="eastAsia" w:ascii="仿宋_GB2312" w:hAnsi="楷体" w:eastAsia="仿宋_GB2312"/>
          <w:b w:val="0"/>
          <w:spacing w:val="-4"/>
          <w:sz w:val="28"/>
          <w:szCs w:val="28"/>
          <w:lang w:val="en-US" w:eastAsia="zh-CN"/>
        </w:rPr>
        <w:t>六</w:t>
      </w:r>
      <w:r>
        <w:rPr>
          <w:rStyle w:val="16"/>
          <w:rFonts w:hint="eastAsia" w:ascii="仿宋_GB2312" w:hAnsi="楷体" w:eastAsia="仿宋_GB2312"/>
          <w:b w:val="0"/>
          <w:spacing w:val="-4"/>
          <w:sz w:val="28"/>
          <w:szCs w:val="28"/>
        </w:rPr>
        <w:t>小学《财务管理制度》相关规定和特克斯县第</w:t>
      </w:r>
      <w:r>
        <w:rPr>
          <w:rStyle w:val="16"/>
          <w:rFonts w:hint="eastAsia" w:ascii="仿宋_GB2312" w:hAnsi="楷体" w:eastAsia="仿宋_GB2312"/>
          <w:b w:val="0"/>
          <w:spacing w:val="-4"/>
          <w:sz w:val="28"/>
          <w:szCs w:val="28"/>
          <w:lang w:val="en-US" w:eastAsia="zh-CN"/>
        </w:rPr>
        <w:t>六</w:t>
      </w:r>
      <w:r>
        <w:rPr>
          <w:rStyle w:val="16"/>
          <w:rFonts w:hint="eastAsia" w:ascii="仿宋_GB2312" w:hAnsi="楷体" w:eastAsia="仿宋_GB2312"/>
          <w:b w:val="0"/>
          <w:spacing w:val="-4"/>
          <w:sz w:val="28"/>
          <w:szCs w:val="28"/>
        </w:rPr>
        <w:t>小学《财务管理制度》规定流程，资金支出按照我内控体系中设定的流程申报审批进行；项目支出属于政府采购的，按照局特克斯县第</w:t>
      </w:r>
      <w:r>
        <w:rPr>
          <w:rStyle w:val="16"/>
          <w:rFonts w:hint="eastAsia" w:ascii="仿宋_GB2312" w:hAnsi="楷体" w:eastAsia="仿宋_GB2312"/>
          <w:b w:val="0"/>
          <w:spacing w:val="-4"/>
          <w:sz w:val="28"/>
          <w:szCs w:val="28"/>
          <w:lang w:val="en-US" w:eastAsia="zh-CN"/>
        </w:rPr>
        <w:t>六</w:t>
      </w:r>
      <w:r>
        <w:rPr>
          <w:rStyle w:val="16"/>
          <w:rFonts w:hint="eastAsia" w:ascii="仿宋_GB2312" w:hAnsi="楷体" w:eastAsia="仿宋_GB2312"/>
          <w:b w:val="0"/>
          <w:spacing w:val="-4"/>
          <w:sz w:val="28"/>
          <w:szCs w:val="28"/>
        </w:rPr>
        <w:t>小学《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r>
        <w:rPr>
          <w:rStyle w:val="16"/>
          <w:rFonts w:hint="eastAsia"/>
          <w:b/>
          <w:bCs/>
          <w:sz w:val="28"/>
          <w:szCs w:val="28"/>
        </w:rPr>
        <w:t>（二）基本支出管理及使用情况</w:t>
      </w:r>
      <w:bookmarkEnd w:id="14"/>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1217.32</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1217.32</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1217.32</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％，其中：工资福利支出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1057.22</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131.05</w:t>
      </w:r>
      <w:r>
        <w:rPr>
          <w:rStyle w:val="16"/>
          <w:rFonts w:hint="eastAsia" w:ascii="仿宋_GB2312" w:hAnsi="楷体" w:eastAsia="仿宋_GB2312"/>
          <w:b w:val="0"/>
          <w:spacing w:val="-4"/>
          <w:sz w:val="28"/>
          <w:szCs w:val="28"/>
        </w:rPr>
        <w:t>万元、对个人和家庭的补助</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29.05</w:t>
      </w:r>
      <w:r>
        <w:rPr>
          <w:rStyle w:val="16"/>
          <w:rFonts w:hint="eastAsia" w:ascii="仿宋_GB2312" w:hAnsi="楷体" w:eastAsia="仿宋_GB2312"/>
          <w:b w:val="0"/>
          <w:spacing w:val="-4"/>
          <w:sz w:val="28"/>
          <w:szCs w:val="28"/>
        </w:rPr>
        <w:t>万元、主要用于人员工资支出，办公费、印刷费、水电费、办公设备购置等。资本性支出0万元。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888.56</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328.76</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37.0</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，支出上升的主要原因是人员调整，特岗入编，人数增加，兑现了部分人员职称工资，2021年3月绩效调标，发放2018年</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2020年绩效奖金及2020年综合治理奖。</w:t>
      </w:r>
    </w:p>
    <w:p>
      <w:pPr>
        <w:widowControl/>
        <w:spacing w:line="560" w:lineRule="exact"/>
        <w:ind w:firstLine="544" w:firstLineChars="200"/>
        <w:jc w:val="left"/>
        <w:rPr>
          <w:rStyle w:val="16"/>
          <w:rFonts w:hint="eastAsia" w:ascii="仿宋_GB2312" w:hAnsi="楷体" w:eastAsia="仿宋_GB2312"/>
          <w:b w:val="0"/>
          <w:spacing w:val="-4"/>
          <w:sz w:val="28"/>
          <w:szCs w:val="28"/>
        </w:rPr>
      </w:pPr>
      <w:bookmarkStart w:id="15" w:name="_Toc70450302"/>
      <w:r>
        <w:rPr>
          <w:rStyle w:val="16"/>
          <w:rFonts w:hint="eastAsia" w:ascii="仿宋_GB2312" w:hAnsi="楷体" w:eastAsia="仿宋_GB2312"/>
          <w:b w:val="0"/>
          <w:spacing w:val="-4"/>
          <w:sz w:val="28"/>
          <w:szCs w:val="28"/>
        </w:rPr>
        <w:t>2021年一般公共预算“三公”经费数为0万元，其中：因公出国（境）费0万元，公务用车购置0万元，公务用车运行费0万元，公务接待费0万元。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比上年增加0万元，其中：因公出国（境）费增加0万元，主要原因是：2021年我单位未安排三公经费预算；公务用车购置费为0，2021年我单位未安排预算。公务用车运行费增加0万元，主要原因是：2021年我单位未安排预算；公务接待费增加0万元，主要原因是：2021年我单位未安排预算。</w:t>
      </w:r>
    </w:p>
    <w:p>
      <w:pPr>
        <w:pStyle w:val="4"/>
        <w:spacing w:line="360" w:lineRule="auto"/>
        <w:rPr>
          <w:rStyle w:val="16"/>
          <w:rFonts w:ascii="仿宋" w:hAnsi="仿宋" w:eastAsia="仿宋"/>
          <w:b/>
          <w:bCs/>
        </w:rPr>
      </w:pPr>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bookmarkStart w:id="17" w:name="_Toc70450305"/>
      <w:r>
        <w:rPr>
          <w:rStyle w:val="16"/>
          <w:rFonts w:hint="eastAsia" w:ascii="仿宋" w:hAnsi="仿宋" w:eastAsia="仿宋"/>
          <w:b/>
          <w:bCs/>
        </w:rPr>
        <w:t>1、专项资金安排落实、总投入等情况分析</w:t>
      </w:r>
      <w:bookmarkEnd w:id="1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2021年预算安排专项资金 0万元，实际到位0万元, 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bookmarkStart w:id="18" w:name="_Toc70450304"/>
      <w:r>
        <w:rPr>
          <w:rStyle w:val="16"/>
          <w:rFonts w:hint="eastAsia" w:ascii="仿宋" w:hAnsi="仿宋" w:eastAsia="仿宋"/>
          <w:b/>
          <w:bCs/>
        </w:rPr>
        <w:t>2、专项资金实际使用情况</w:t>
      </w:r>
      <w:bookmarkEnd w:id="1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2021年专项资金支出0万元，占总支出的0%，其中2021年专项项目支出比上年0万元增加0万元，上升0 %。支出上升的主要原因是：2021年我单位未安排资金支出。</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3、专项资金管理情况</w:t>
      </w:r>
      <w:bookmarkEnd w:id="17"/>
    </w:p>
    <w:p>
      <w:pPr>
        <w:spacing w:line="360" w:lineRule="auto"/>
        <w:ind w:firstLine="492" w:firstLineChars="181"/>
        <w:rPr>
          <w:rStyle w:val="16"/>
          <w:rFonts w:ascii="仿宋_GB2312" w:hAnsi="楷体" w:eastAsia="仿宋_GB2312"/>
          <w:b w:val="0"/>
          <w:spacing w:val="-4"/>
          <w:sz w:val="28"/>
          <w:szCs w:val="28"/>
          <w:highlight w:val="none"/>
        </w:rPr>
      </w:pPr>
      <w:bookmarkStart w:id="19" w:name="_Toc70450306"/>
      <w:r>
        <w:rPr>
          <w:rStyle w:val="16"/>
          <w:rFonts w:hint="eastAsia" w:ascii="仿宋_GB2312" w:hAnsi="楷体" w:eastAsia="仿宋_GB2312"/>
          <w:b w:val="0"/>
          <w:spacing w:val="-4"/>
          <w:sz w:val="28"/>
          <w:szCs w:val="28"/>
          <w:highlight w:val="none"/>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（1）制定了特克斯县第</w:t>
      </w:r>
      <w:r>
        <w:rPr>
          <w:rStyle w:val="16"/>
          <w:rFonts w:hint="eastAsia" w:ascii="仿宋_GB2312" w:hAnsi="楷体" w:eastAsia="仿宋_GB2312"/>
          <w:b w:val="0"/>
          <w:spacing w:val="-4"/>
          <w:sz w:val="28"/>
          <w:szCs w:val="28"/>
          <w:highlight w:val="none"/>
          <w:lang w:val="en-US" w:eastAsia="zh-CN"/>
        </w:rPr>
        <w:t>六</w:t>
      </w:r>
      <w:r>
        <w:rPr>
          <w:rStyle w:val="16"/>
          <w:rFonts w:hint="eastAsia" w:ascii="仿宋_GB2312" w:hAnsi="楷体" w:eastAsia="仿宋_GB2312"/>
          <w:b w:val="0"/>
          <w:spacing w:val="-4"/>
          <w:sz w:val="28"/>
          <w:szCs w:val="28"/>
          <w:highlight w:val="none"/>
        </w:rPr>
        <w:t>小学专项资金管理办法，各项资金使用审批流程均按规定办理。涉及“三重一大”内容，严格按照规定提请局党组会审议决定，包括项目资金分配、重大项目确定、大额资金支付等。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）建立特克斯县第</w:t>
      </w:r>
      <w:r>
        <w:rPr>
          <w:rStyle w:val="16"/>
          <w:rFonts w:hint="eastAsia" w:ascii="仿宋_GB2312" w:hAnsi="楷体" w:eastAsia="仿宋_GB2312"/>
          <w:b w:val="0"/>
          <w:spacing w:val="-4"/>
          <w:sz w:val="28"/>
          <w:szCs w:val="28"/>
          <w:highlight w:val="none"/>
          <w:lang w:val="en-US" w:eastAsia="zh-CN"/>
        </w:rPr>
        <w:t>六</w:t>
      </w:r>
      <w:r>
        <w:rPr>
          <w:rStyle w:val="16"/>
          <w:rFonts w:hint="eastAsia" w:ascii="仿宋_GB2312" w:hAnsi="楷体" w:eastAsia="仿宋_GB2312"/>
          <w:b w:val="0"/>
          <w:spacing w:val="-4"/>
          <w:sz w:val="28"/>
          <w:szCs w:val="28"/>
          <w:highlight w:val="none"/>
        </w:rPr>
        <w:t>小学专项资金专帐，做到有据可依，有据可查。</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（3）制订了特克斯县第</w:t>
      </w:r>
      <w:r>
        <w:rPr>
          <w:rStyle w:val="16"/>
          <w:rFonts w:hint="eastAsia" w:ascii="仿宋_GB2312" w:hAnsi="楷体" w:eastAsia="仿宋_GB2312"/>
          <w:b w:val="0"/>
          <w:spacing w:val="-4"/>
          <w:sz w:val="28"/>
          <w:szCs w:val="28"/>
          <w:highlight w:val="none"/>
          <w:lang w:val="en-US" w:eastAsia="zh-CN"/>
        </w:rPr>
        <w:t>六</w:t>
      </w:r>
      <w:r>
        <w:rPr>
          <w:rStyle w:val="16"/>
          <w:rFonts w:hint="eastAsia" w:ascii="仿宋_GB2312" w:hAnsi="楷体" w:eastAsia="仿宋_GB2312"/>
          <w:b w:val="0"/>
          <w:spacing w:val="-4"/>
          <w:sz w:val="28"/>
          <w:szCs w:val="28"/>
          <w:highlight w:val="none"/>
        </w:rPr>
        <w:t>小学项目实施方案，确保项目顺利进行。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（4）认真组织特克斯县第</w:t>
      </w:r>
      <w:r>
        <w:rPr>
          <w:rStyle w:val="16"/>
          <w:rFonts w:hint="eastAsia" w:ascii="仿宋_GB2312" w:hAnsi="楷体" w:eastAsia="仿宋_GB2312"/>
          <w:b w:val="0"/>
          <w:spacing w:val="-4"/>
          <w:sz w:val="28"/>
          <w:szCs w:val="28"/>
          <w:highlight w:val="none"/>
          <w:lang w:val="en-US" w:eastAsia="zh-CN"/>
        </w:rPr>
        <w:t>六</w:t>
      </w:r>
      <w:r>
        <w:rPr>
          <w:rStyle w:val="16"/>
          <w:rFonts w:hint="eastAsia" w:ascii="仿宋_GB2312" w:hAnsi="楷体" w:eastAsia="仿宋_GB2312"/>
          <w:b w:val="0"/>
          <w:spacing w:val="-4"/>
          <w:sz w:val="28"/>
          <w:szCs w:val="28"/>
          <w:highlight w:val="none"/>
        </w:rPr>
        <w:t>小学项目验收，确保项目顺利进行。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专项资金涉及政府采购项目的，按照局《</w:t>
      </w:r>
      <w:r>
        <w:rPr>
          <w:rStyle w:val="16"/>
          <w:rFonts w:hint="eastAsia" w:ascii="仿宋_GB2312" w:hAnsi="楷体" w:eastAsia="仿宋_GB2312"/>
          <w:b w:val="0"/>
          <w:spacing w:val="-4"/>
          <w:sz w:val="28"/>
          <w:szCs w:val="28"/>
          <w:highlight w:val="none"/>
          <w:lang w:val="en-US" w:eastAsia="zh-CN"/>
        </w:rPr>
        <w:t>特克斯县第六</w:t>
      </w:r>
      <w:r>
        <w:rPr>
          <w:rStyle w:val="16"/>
          <w:rFonts w:hint="eastAsia" w:ascii="仿宋_GB2312" w:hAnsi="楷体" w:eastAsia="仿宋_GB2312"/>
          <w:b w:val="0"/>
          <w:spacing w:val="-4"/>
          <w:sz w:val="28"/>
          <w:szCs w:val="28"/>
          <w:highlight w:val="none"/>
        </w:rPr>
        <w:t>小学采购与招标管理办法》组织人员制定采购计划，按照财政局采购部门批复，进行公开招标、邀请招标等方式进行。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6"/>
          <w:rFonts w:hint="eastAsia" w:ascii="仿宋_GB2312" w:hAnsi="楷体" w:eastAsia="仿宋_GB2312"/>
          <w:b w:val="0"/>
          <w:spacing w:val="-4"/>
          <w:sz w:val="28"/>
          <w:szCs w:val="28"/>
          <w:lang w:eastAsia="zh-CN"/>
        </w:rPr>
      </w:pPr>
      <w:bookmarkStart w:id="20" w:name="_Toc70450310"/>
      <w:r>
        <w:rPr>
          <w:rStyle w:val="16"/>
          <w:rFonts w:hint="eastAsia" w:ascii="仿宋_GB2312" w:hAnsi="楷体" w:eastAsia="仿宋_GB2312"/>
          <w:b w:val="0"/>
          <w:spacing w:val="-4"/>
          <w:sz w:val="28"/>
          <w:szCs w:val="28"/>
        </w:rPr>
        <w:t>2021年我单位未安排项目支出预算</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rPr>
      </w:pPr>
      <w:bookmarkStart w:id="22" w:name="_Toc70450312"/>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w:t>
      </w:r>
      <w:r>
        <w:rPr>
          <w:rStyle w:val="16"/>
          <w:rFonts w:hint="eastAsia" w:ascii="仿宋_GB2312" w:hAnsi="宋体" w:eastAsia="仿宋_GB2312"/>
          <w:b w:val="0"/>
          <w:bCs w:val="0"/>
          <w:color w:val="auto"/>
          <w:spacing w:val="-4"/>
          <w:sz w:val="28"/>
          <w:szCs w:val="28"/>
          <w:lang w:val="en-US" w:eastAsia="zh-CN"/>
        </w:rPr>
        <w:t>特克斯县第六小学</w:t>
      </w:r>
      <w:r>
        <w:rPr>
          <w:rStyle w:val="16"/>
          <w:rFonts w:hint="eastAsia" w:ascii="仿宋_GB2312" w:hAnsi="宋体" w:eastAsia="仿宋_GB2312"/>
          <w:b w:val="0"/>
          <w:bCs w:val="0"/>
          <w:color w:val="auto"/>
          <w:spacing w:val="-4"/>
          <w:sz w:val="28"/>
          <w:szCs w:val="28"/>
        </w:rPr>
        <w:t>资产总额</w:t>
      </w:r>
      <w:r>
        <w:rPr>
          <w:rStyle w:val="16"/>
          <w:rFonts w:hint="eastAsia" w:ascii="仿宋_GB2312" w:hAnsi="宋体" w:eastAsia="仿宋_GB2312"/>
          <w:b w:val="0"/>
          <w:bCs w:val="0"/>
          <w:color w:val="auto"/>
          <w:spacing w:val="-4"/>
          <w:sz w:val="28"/>
          <w:szCs w:val="28"/>
          <w:lang w:val="en-US" w:eastAsia="zh-CN"/>
        </w:rPr>
        <w:t>1673.58</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万元，固定资产净值</w:t>
      </w:r>
      <w:r>
        <w:rPr>
          <w:rStyle w:val="16"/>
          <w:rFonts w:hint="eastAsia" w:ascii="仿宋_GB2312" w:hAnsi="宋体" w:eastAsia="仿宋_GB2312"/>
          <w:b w:val="0"/>
          <w:bCs w:val="0"/>
          <w:color w:val="auto"/>
          <w:spacing w:val="-4"/>
          <w:sz w:val="28"/>
          <w:szCs w:val="28"/>
          <w:lang w:val="en-US" w:eastAsia="zh-CN"/>
        </w:rPr>
        <w:t>1673.58</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1501.88</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89.74</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23.96</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1.43</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24.47</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1.46</w:t>
      </w:r>
      <w:r>
        <w:rPr>
          <w:rStyle w:val="16"/>
          <w:rFonts w:hint="eastAsia" w:ascii="仿宋_GB2312" w:hAnsi="宋体" w:eastAsia="仿宋_GB2312"/>
          <w:b w:val="0"/>
          <w:bCs w:val="0"/>
          <w:spacing w:val="-4"/>
          <w:sz w:val="28"/>
          <w:szCs w:val="28"/>
        </w:rPr>
        <w:t>%；其他</w:t>
      </w:r>
      <w:r>
        <w:rPr>
          <w:rStyle w:val="16"/>
          <w:rFonts w:hint="eastAsia" w:ascii="仿宋_GB2312" w:hAnsi="宋体" w:eastAsia="仿宋_GB2312"/>
          <w:b w:val="0"/>
          <w:bCs w:val="0"/>
          <w:spacing w:val="-4"/>
          <w:sz w:val="28"/>
          <w:szCs w:val="28"/>
          <w:lang w:val="en-US" w:eastAsia="zh-CN"/>
        </w:rPr>
        <w:t>123.27万元，</w:t>
      </w:r>
      <w:r>
        <w:rPr>
          <w:rStyle w:val="16"/>
          <w:rFonts w:hint="eastAsia" w:ascii="仿宋_GB2312" w:hAnsi="宋体" w:eastAsia="仿宋_GB2312"/>
          <w:b w:val="0"/>
          <w:bCs w:val="0"/>
          <w:spacing w:val="-4"/>
          <w:sz w:val="28"/>
          <w:szCs w:val="28"/>
        </w:rPr>
        <w:t>占固定资产净值的</w:t>
      </w:r>
      <w:r>
        <w:rPr>
          <w:rStyle w:val="16"/>
          <w:rFonts w:hint="eastAsia" w:ascii="仿宋_GB2312" w:hAnsi="宋体" w:eastAsia="仿宋_GB2312"/>
          <w:b w:val="0"/>
          <w:bCs w:val="0"/>
          <w:spacing w:val="-4"/>
          <w:sz w:val="28"/>
          <w:szCs w:val="28"/>
          <w:lang w:val="en-US" w:eastAsia="zh-CN"/>
        </w:rPr>
        <w:t>7.37</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楷体" w:eastAsia="仿宋_GB2312"/>
          <w:b w:val="0"/>
          <w:spacing w:val="-4"/>
          <w:sz w:val="28"/>
          <w:szCs w:val="28"/>
        </w:rPr>
        <w:t>2021年度我单位无流动资产</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color w:val="auto"/>
          <w:spacing w:val="-4"/>
          <w:sz w:val="28"/>
          <w:szCs w:val="28"/>
          <w:lang w:val="en-US" w:eastAsia="zh-CN"/>
        </w:rPr>
        <w:t>1673.58</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楷体" w:eastAsia="仿宋_GB2312"/>
          <w:b w:val="0"/>
          <w:spacing w:val="-4"/>
          <w:sz w:val="28"/>
          <w:szCs w:val="28"/>
        </w:rPr>
        <w:t>2021年度我单位</w:t>
      </w:r>
      <w:r>
        <w:rPr>
          <w:rStyle w:val="16"/>
          <w:rFonts w:hint="eastAsia" w:ascii="仿宋_GB2312" w:hAnsi="宋体" w:eastAsia="仿宋_GB2312"/>
          <w:b w:val="0"/>
          <w:bCs w:val="0"/>
          <w:spacing w:val="-4"/>
          <w:sz w:val="28"/>
          <w:szCs w:val="28"/>
          <w:lang w:val="en-US" w:eastAsia="zh-CN"/>
        </w:rPr>
        <w:t>固定资产无增加</w:t>
      </w:r>
      <w:r>
        <w:rPr>
          <w:rStyle w:val="16"/>
          <w:rFonts w:hint="eastAsia" w:ascii="仿宋_GB2312" w:hAnsi="宋体" w:eastAsia="仿宋_GB2312"/>
          <w:b w:val="0"/>
          <w:bCs w:val="0"/>
          <w:spacing w:val="-4"/>
          <w:sz w:val="28"/>
          <w:szCs w:val="28"/>
        </w:rPr>
        <w:t>。</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color w:val="auto"/>
          <w:spacing w:val="-4"/>
          <w:sz w:val="28"/>
          <w:szCs w:val="28"/>
          <w:lang w:val="en-US" w:eastAsia="zh-CN"/>
        </w:rPr>
        <w:t>1673.58</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rPr>
      </w:pPr>
      <w:bookmarkStart w:id="25" w:name="_Toc70450315"/>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楷体" w:eastAsia="仿宋_GB2312"/>
          <w:b w:val="0"/>
          <w:spacing w:val="-4"/>
          <w:sz w:val="28"/>
          <w:szCs w:val="28"/>
          <w:lang w:val="en-US" w:eastAsia="zh-CN"/>
        </w:rPr>
        <w:t>660.42</w:t>
      </w:r>
      <w:r>
        <w:rPr>
          <w:rStyle w:val="16"/>
          <w:rFonts w:hint="eastAsia" w:ascii="仿宋_GB2312" w:hAnsi="宋体" w:eastAsia="仿宋_GB2312"/>
          <w:b w:val="0"/>
          <w:bCs w:val="0"/>
          <w:spacing w:val="-4"/>
          <w:sz w:val="28"/>
          <w:szCs w:val="28"/>
        </w:rPr>
        <w:t>万元，年中调整</w:t>
      </w:r>
      <w:r>
        <w:rPr>
          <w:rStyle w:val="16"/>
          <w:rFonts w:hint="eastAsia" w:ascii="仿宋_GB2312" w:hAnsi="楷体" w:eastAsia="仿宋_GB2312"/>
          <w:b w:val="0"/>
          <w:spacing w:val="-4"/>
          <w:sz w:val="28"/>
          <w:szCs w:val="28"/>
          <w:lang w:val="en-US" w:eastAsia="zh-CN"/>
        </w:rPr>
        <w:t>556.9</w:t>
      </w:r>
      <w:r>
        <w:rPr>
          <w:rStyle w:val="16"/>
          <w:rFonts w:hint="eastAsia" w:ascii="仿宋_GB2312" w:hAnsi="宋体" w:eastAsia="仿宋_GB2312"/>
          <w:b w:val="0"/>
          <w:bCs w:val="0"/>
          <w:spacing w:val="-4"/>
          <w:sz w:val="28"/>
          <w:szCs w:val="28"/>
        </w:rPr>
        <w:t>万元，截止12月底支出</w:t>
      </w:r>
      <w:r>
        <w:rPr>
          <w:rStyle w:val="16"/>
          <w:rFonts w:hint="eastAsia" w:ascii="仿宋_GB2312" w:hAnsi="楷体" w:eastAsia="仿宋_GB2312"/>
          <w:b w:val="0"/>
          <w:spacing w:val="-4"/>
          <w:sz w:val="28"/>
          <w:szCs w:val="28"/>
          <w:lang w:val="en-US" w:eastAsia="zh-CN"/>
        </w:rPr>
        <w:t>1217.32</w:t>
      </w:r>
      <w:r>
        <w:rPr>
          <w:rStyle w:val="16"/>
          <w:rFonts w:hint="eastAsia" w:ascii="仿宋_GB2312" w:hAnsi="宋体" w:eastAsia="仿宋_GB2312"/>
          <w:b w:val="0"/>
          <w:bCs w:val="0"/>
          <w:spacing w:val="-4"/>
          <w:sz w:val="28"/>
          <w:szCs w:val="28"/>
        </w:rPr>
        <w:t>万元，执行率</w:t>
      </w:r>
      <w:r>
        <w:rPr>
          <w:rStyle w:val="16"/>
          <w:rFonts w:hint="eastAsia" w:ascii="仿宋_GB2312" w:hAnsi="楷体" w:eastAsia="仿宋_GB2312"/>
          <w:b w:val="0"/>
          <w:spacing w:val="-4"/>
          <w:sz w:val="28"/>
          <w:szCs w:val="28"/>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r>
        <w:rPr>
          <w:rStyle w:val="16"/>
          <w:rFonts w:hint="eastAsia" w:ascii="仿宋" w:hAnsi="仿宋" w:eastAsia="仿宋"/>
          <w:b/>
          <w:bCs/>
        </w:rPr>
        <w:t>（二）效率性评价</w:t>
      </w:r>
      <w:bookmarkEnd w:id="25"/>
    </w:p>
    <w:p>
      <w:pPr>
        <w:spacing w:line="360" w:lineRule="auto"/>
        <w:ind w:firstLine="544" w:firstLineChars="200"/>
        <w:rPr>
          <w:rStyle w:val="16"/>
          <w:rFonts w:hint="eastAsia" w:ascii="仿宋_GB2312" w:hAnsi="楷体" w:eastAsia="仿宋_GB2312"/>
          <w:b w:val="0"/>
          <w:spacing w:val="-4"/>
          <w:sz w:val="28"/>
          <w:szCs w:val="28"/>
        </w:rPr>
      </w:pPr>
      <w:bookmarkStart w:id="26" w:name="_Toc70450316"/>
      <w:r>
        <w:rPr>
          <w:rStyle w:val="16"/>
          <w:rFonts w:hint="eastAsia" w:ascii="仿宋_GB2312" w:hAnsi="楷体" w:eastAsia="仿宋_GB2312"/>
          <w:b w:val="0"/>
          <w:spacing w:val="-4"/>
          <w:sz w:val="28"/>
          <w:szCs w:val="28"/>
        </w:rPr>
        <w:t>2021年，在特克斯县人民政府的大力支持和教育局党委的正确领导下，特克斯县第</w:t>
      </w:r>
      <w:r>
        <w:rPr>
          <w:rStyle w:val="16"/>
          <w:rFonts w:hint="eastAsia" w:ascii="仿宋_GB2312" w:hAnsi="楷体" w:eastAsia="仿宋_GB2312"/>
          <w:b w:val="0"/>
          <w:spacing w:val="-4"/>
          <w:sz w:val="28"/>
          <w:szCs w:val="28"/>
          <w:lang w:val="en-US" w:eastAsia="zh-CN"/>
        </w:rPr>
        <w:t>六</w:t>
      </w:r>
      <w:r>
        <w:rPr>
          <w:rStyle w:val="16"/>
          <w:rFonts w:hint="eastAsia" w:ascii="仿宋_GB2312" w:hAnsi="楷体" w:eastAsia="仿宋_GB2312"/>
          <w:b w:val="0"/>
          <w:spacing w:val="-4"/>
          <w:sz w:val="28"/>
          <w:szCs w:val="28"/>
        </w:rPr>
        <w:t>小学迎难而上、务实重干，积极推动各项教育工作取得了新的进展，为促进经济持续健康发展与社会和谐稳定提供了有力的教育支撑和保障。</w:t>
      </w:r>
    </w:p>
    <w:p>
      <w:pPr>
        <w:numPr>
          <w:ilvl w:val="0"/>
          <w:numId w:val="1"/>
        </w:numPr>
        <w:spacing w:line="360" w:lineRule="auto"/>
        <w:ind w:left="-124" w:leftChars="0" w:firstLine="544" w:firstLineChars="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1"/>
        </w:numPr>
        <w:spacing w:line="360" w:lineRule="auto"/>
        <w:ind w:left="-124" w:leftChars="0" w:firstLine="544" w:firstLineChars="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1"/>
        </w:numPr>
        <w:spacing w:line="360" w:lineRule="auto"/>
        <w:ind w:left="-124" w:leftChars="0" w:firstLine="544" w:firstLineChars="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4、教育教学全面达标，群众满意度高。</w:t>
      </w:r>
    </w:p>
    <w:p>
      <w:pPr>
        <w:pStyle w:val="4"/>
        <w:spacing w:line="360" w:lineRule="auto"/>
        <w:ind w:firstLine="643" w:firstLineChars="200"/>
        <w:rPr>
          <w:rStyle w:val="16"/>
          <w:rFonts w:ascii="仿宋" w:hAnsi="仿宋" w:eastAsia="仿宋"/>
          <w:b/>
          <w:bCs/>
        </w:rPr>
      </w:pPr>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特克斯县第</w:t>
      </w:r>
      <w:r>
        <w:rPr>
          <w:rStyle w:val="16"/>
          <w:rFonts w:hint="eastAsia" w:ascii="仿宋_GB2312" w:hAnsi="宋体" w:eastAsia="仿宋_GB2312"/>
          <w:b w:val="0"/>
          <w:bCs w:val="0"/>
          <w:color w:val="auto"/>
          <w:spacing w:val="-4"/>
          <w:sz w:val="28"/>
          <w:szCs w:val="28"/>
          <w:lang w:val="en-US" w:eastAsia="zh-CN"/>
        </w:rPr>
        <w:t>六</w:t>
      </w:r>
      <w:r>
        <w:rPr>
          <w:rStyle w:val="16"/>
          <w:rFonts w:hint="eastAsia" w:ascii="仿宋_GB2312" w:hAnsi="宋体" w:eastAsia="仿宋_GB2312"/>
          <w:b w:val="0"/>
          <w:bCs w:val="0"/>
          <w:color w:val="auto"/>
          <w:spacing w:val="-4"/>
          <w:sz w:val="28"/>
          <w:szCs w:val="28"/>
        </w:rPr>
        <w:t>小学基本经费中人员经费支出、公用支出严格执行政府的各项制度，保障全局工作正常运转，三公经费的使用严格控制在预算申报的范围内；在项目经费的使用上，在保证各项任务顺利完成的同时，严格落实厉行节约的原则</w:t>
      </w:r>
      <w:r>
        <w:rPr>
          <w:rStyle w:val="16"/>
          <w:rFonts w:hint="eastAsia" w:ascii="仿宋_GB2312" w:hAnsi="宋体" w:eastAsia="仿宋_GB2312"/>
          <w:b w:val="0"/>
          <w:bCs w:val="0"/>
          <w:color w:val="auto"/>
          <w:spacing w:val="-4"/>
          <w:sz w:val="28"/>
          <w:szCs w:val="28"/>
          <w:lang w:eastAsia="zh-CN"/>
        </w:rPr>
        <w:t>。</w:t>
      </w:r>
      <w:r>
        <w:rPr>
          <w:rStyle w:val="16"/>
          <w:rFonts w:hint="eastAsia" w:ascii="仿宋_GB2312" w:hAnsi="宋体" w:eastAsia="仿宋_GB2312"/>
          <w:b w:val="0"/>
          <w:bCs w:val="0"/>
          <w:color w:val="auto"/>
          <w:spacing w:val="-4"/>
          <w:sz w:val="28"/>
          <w:szCs w:val="28"/>
        </w:rPr>
        <w:t>详细情况如下：</w:t>
      </w:r>
    </w:p>
    <w:p>
      <w:pPr>
        <w:spacing w:line="360" w:lineRule="auto"/>
        <w:ind w:firstLine="544" w:firstLineChars="200"/>
        <w:rPr>
          <w:rStyle w:val="16"/>
          <w:rFonts w:hint="eastAsia" w:ascii="仿宋_GB2312" w:hAnsi="宋体" w:eastAsia="仿宋_GB2312"/>
          <w:b w:val="0"/>
          <w:bCs w:val="0"/>
          <w:color w:val="FF0000"/>
          <w:spacing w:val="-4"/>
          <w:sz w:val="28"/>
          <w:szCs w:val="28"/>
          <w:lang w:eastAsia="zh-CN"/>
        </w:rPr>
      </w:pPr>
      <w:r>
        <w:rPr>
          <w:rStyle w:val="16"/>
          <w:rFonts w:hint="eastAsia" w:ascii="仿宋_GB2312" w:hAnsi="宋体" w:eastAsia="仿宋_GB2312" w:cs="Times New Roman"/>
          <w:b w:val="0"/>
          <w:bCs w:val="0"/>
          <w:color w:val="auto"/>
          <w:spacing w:val="-4"/>
          <w:sz w:val="28"/>
          <w:szCs w:val="28"/>
          <w:lang w:eastAsia="zh-CN"/>
        </w:rPr>
        <w:t>特克斯县第</w:t>
      </w:r>
      <w:r>
        <w:rPr>
          <w:rStyle w:val="16"/>
          <w:rFonts w:hint="eastAsia" w:ascii="仿宋_GB2312" w:hAnsi="宋体" w:eastAsia="仿宋_GB2312" w:cs="Times New Roman"/>
          <w:b w:val="0"/>
          <w:bCs w:val="0"/>
          <w:color w:val="auto"/>
          <w:spacing w:val="-4"/>
          <w:sz w:val="28"/>
          <w:szCs w:val="28"/>
          <w:lang w:val="en-US" w:eastAsia="zh-CN"/>
        </w:rPr>
        <w:t>六</w:t>
      </w:r>
      <w:r>
        <w:rPr>
          <w:rStyle w:val="16"/>
          <w:rFonts w:hint="eastAsia" w:ascii="仿宋_GB2312" w:hAnsi="宋体" w:eastAsia="仿宋_GB2312" w:cs="Times New Roman"/>
          <w:b w:val="0"/>
          <w:bCs w:val="0"/>
          <w:color w:val="auto"/>
          <w:spacing w:val="-4"/>
          <w:sz w:val="28"/>
          <w:szCs w:val="28"/>
          <w:lang w:eastAsia="zh-CN"/>
        </w:rPr>
        <w:t>小学</w:t>
      </w:r>
      <w:r>
        <w:rPr>
          <w:rStyle w:val="16"/>
          <w:rFonts w:hint="eastAsia" w:ascii="仿宋_GB2312" w:eastAsia="仿宋_GB2312" w:hAnsiTheme="minorEastAsia"/>
          <w:b w:val="0"/>
          <w:spacing w:val="-4"/>
          <w:sz w:val="28"/>
          <w:szCs w:val="28"/>
        </w:rPr>
        <w:t>单位整体绩效目标共设置一级指标</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个，二级指标</w:t>
      </w:r>
      <w:r>
        <w:rPr>
          <w:rStyle w:val="16"/>
          <w:rFonts w:hint="eastAsia" w:ascii="仿宋_GB2312" w:eastAsia="仿宋_GB2312" w:hAnsiTheme="minorEastAsia"/>
          <w:b w:val="0"/>
          <w:spacing w:val="-4"/>
          <w:sz w:val="28"/>
          <w:szCs w:val="28"/>
          <w:lang w:val="en-US" w:eastAsia="zh-CN"/>
        </w:rPr>
        <w:t>6</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8</w:t>
      </w:r>
      <w:r>
        <w:rPr>
          <w:rStyle w:val="16"/>
          <w:rFonts w:hint="eastAsia" w:ascii="仿宋_GB2312" w:eastAsia="仿宋_GB2312" w:hAnsiTheme="minorEastAsia"/>
          <w:b w:val="0"/>
          <w:spacing w:val="-4"/>
          <w:sz w:val="28"/>
          <w:szCs w:val="28"/>
        </w:rPr>
        <w:t>个，详细说明如下</w:t>
      </w:r>
      <w:r>
        <w:rPr>
          <w:rStyle w:val="16"/>
          <w:rFonts w:hint="eastAsia" w:ascii="仿宋_GB2312" w:eastAsia="仿宋_GB2312" w:hAnsiTheme="minorEastAsia"/>
          <w:b w:val="0"/>
          <w:spacing w:val="-4"/>
          <w:sz w:val="28"/>
          <w:szCs w:val="28"/>
          <w:lang w:eastAsia="zh-CN"/>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在职人员人数</w:t>
      </w:r>
      <w:r>
        <w:rPr>
          <w:rStyle w:val="16"/>
          <w:rFonts w:hint="eastAsia" w:ascii="仿宋_GB2312" w:hAnsi="宋体" w:eastAsia="仿宋_GB2312"/>
          <w:b w:val="0"/>
          <w:spacing w:val="-4"/>
          <w:sz w:val="28"/>
          <w:szCs w:val="28"/>
        </w:rPr>
        <w:t>，指标值：</w:t>
      </w:r>
      <w:r>
        <w:rPr>
          <w:rStyle w:val="16"/>
          <w:rFonts w:hint="eastAsia" w:ascii="仿宋_GB2312" w:hAnsi="宋体" w:eastAsia="仿宋_GB2312"/>
          <w:b w:val="0"/>
          <w:spacing w:val="-4"/>
          <w:sz w:val="28"/>
          <w:szCs w:val="28"/>
          <w:lang w:val="en-US" w:eastAsia="zh-CN"/>
        </w:rPr>
        <w:t>=63人</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63人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指标1：人员工资发放、社保缴纳准确性，指标值：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eastAsia="zh-CN"/>
        </w:rPr>
        <w:t>：100%</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1</w:t>
      </w:r>
      <w:r>
        <w:rPr>
          <w:rStyle w:val="16"/>
          <w:rFonts w:hint="eastAsia" w:ascii="仿宋_GB2312" w:hAnsi="宋体" w:eastAsia="仿宋_GB2312"/>
          <w:b w:val="0"/>
          <w:spacing w:val="-4"/>
          <w:sz w:val="28"/>
          <w:szCs w:val="28"/>
        </w:rPr>
        <w:t>：人员工资发放、社保缴纳及时性，指标值：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指标1：人员工资，社保，住房等人均支出标准，指标值：≤104829元/人/年，实际完成值：104829元/人/年，指标完成率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2</w:t>
      </w:r>
      <w:r>
        <w:rPr>
          <w:rStyle w:val="16"/>
          <w:rFonts w:hint="eastAsia" w:ascii="仿宋_GB2312" w:hAnsi="宋体" w:eastAsia="仿宋_GB2312"/>
          <w:b w:val="0"/>
          <w:spacing w:val="-4"/>
          <w:sz w:val="28"/>
          <w:szCs w:val="28"/>
        </w:rPr>
        <w:t>：取暖费人均支出标准，指标值：</w:t>
      </w:r>
      <w:r>
        <w:rPr>
          <w:rStyle w:val="16"/>
          <w:rFonts w:hint="eastAsia" w:ascii="仿宋_GB2312" w:hAnsi="宋体" w:eastAsia="仿宋_GB2312"/>
          <w:b w:val="0"/>
          <w:spacing w:val="-4"/>
          <w:sz w:val="28"/>
          <w:szCs w:val="28"/>
          <w:lang w:val="en-US" w:eastAsia="zh-CN"/>
        </w:rPr>
        <w:t>≤</w:t>
      </w:r>
      <w:r>
        <w:rPr>
          <w:rStyle w:val="16"/>
          <w:rFonts w:hint="eastAsia" w:ascii="仿宋_GB2312" w:hAnsi="宋体" w:eastAsia="仿宋_GB2312"/>
          <w:b w:val="0"/>
          <w:spacing w:val="-4"/>
          <w:sz w:val="28"/>
          <w:szCs w:val="28"/>
        </w:rPr>
        <w:t>1300元/人/年，实际完成值：1300元/人/年，指标完成率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指标1：保证教学任务及时完成，指标值：有效保证，实际完成值：有效保证，指标完成率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：保障教师队伍稳定，指标值：有效保证，实际完成值：有效保证，指标完成率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6、</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指标1：教师满意度，指标值：</w:t>
      </w:r>
      <w:r>
        <w:rPr>
          <w:rStyle w:val="16"/>
          <w:rFonts w:hint="eastAsia" w:ascii="仿宋_GB2312" w:hAnsi="宋体" w:eastAsia="仿宋_GB2312"/>
          <w:b w:val="0"/>
          <w:spacing w:val="-4"/>
          <w:sz w:val="28"/>
          <w:szCs w:val="28"/>
          <w:lang w:eastAsia="zh-CN"/>
        </w:rPr>
        <w:t>≥95%</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95%</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pStyle w:val="3"/>
        <w:numPr>
          <w:ilvl w:val="0"/>
          <w:numId w:val="2"/>
        </w:numPr>
        <w:spacing w:line="360" w:lineRule="auto"/>
        <w:rPr>
          <w:rFonts w:hint="eastAsia" w:ascii="仿宋" w:hAnsi="仿宋" w:eastAsia="仿宋"/>
          <w:sz w:val="36"/>
          <w:szCs w:val="36"/>
          <w:lang w:bidi="ar"/>
        </w:rPr>
      </w:pPr>
      <w:bookmarkStart w:id="27" w:name="_Toc70450317"/>
      <w:r>
        <w:rPr>
          <w:rFonts w:hint="eastAsia" w:ascii="仿宋" w:hAnsi="仿宋" w:eastAsia="仿宋"/>
          <w:sz w:val="36"/>
          <w:szCs w:val="36"/>
          <w:lang w:bidi="ar"/>
        </w:rPr>
        <w:t>存在的主要问题</w:t>
      </w:r>
      <w:bookmarkEnd w:id="27"/>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1、预算绩效管理观念淡薄，缺乏主动性。</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2、预算绩效管理的组织架构不够完善，缺乏统筹性。</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3、绩效型预算编制脱离实际，缺乏前瞻性。</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楷体" w:eastAsia="仿宋_GB2312"/>
          <w:b w:val="0"/>
          <w:spacing w:val="-4"/>
          <w:sz w:val="28"/>
          <w:szCs w:val="28"/>
        </w:rPr>
        <w:t>4、绩效型预算评价方法比较单一、简单，大都还是采用目标分析法、成本效益分析法等，主观因素判断占比较大，尚未主动尝试采用层次分析法等先进方法。</w:t>
      </w:r>
    </w:p>
    <w:p>
      <w:pPr>
        <w:snapToGrid w:val="0"/>
        <w:spacing w:line="360" w:lineRule="auto"/>
        <w:ind w:firstLine="544" w:firstLineChars="200"/>
        <w:rPr>
          <w:lang w:bidi="ar"/>
        </w:rPr>
      </w:pPr>
      <w:r>
        <w:rPr>
          <w:rStyle w:val="16"/>
          <w:rFonts w:hint="eastAsia" w:ascii="仿宋_GB2312" w:hAnsi="宋体" w:eastAsia="仿宋_GB2312" w:cs="Times New Roman"/>
          <w:b w:val="0"/>
          <w:spacing w:val="-4"/>
          <w:sz w:val="28"/>
          <w:szCs w:val="28"/>
          <w:lang w:val="en-US" w:eastAsia="zh-CN"/>
        </w:rPr>
        <w:t>5、</w:t>
      </w:r>
      <w:r>
        <w:rPr>
          <w:rStyle w:val="16"/>
          <w:rFonts w:hint="eastAsia" w:ascii="仿宋_GB2312" w:hAnsi="宋体" w:eastAsia="仿宋_GB2312" w:cs="Times New Roman"/>
          <w:b w:val="0"/>
          <w:spacing w:val="-4"/>
          <w:sz w:val="28"/>
          <w:szCs w:val="28"/>
        </w:rPr>
        <w:t>固定资产管理水平有待提高</w:t>
      </w:r>
      <w:r>
        <w:rPr>
          <w:rStyle w:val="16"/>
          <w:rFonts w:hint="eastAsia" w:ascii="仿宋_GB2312" w:hAnsi="宋体" w:eastAsia="仿宋_GB2312" w:cs="Times New Roman"/>
          <w:b w:val="0"/>
          <w:spacing w:val="-4"/>
          <w:sz w:val="28"/>
          <w:szCs w:val="28"/>
          <w:lang w:eastAsia="zh-CN"/>
        </w:rPr>
        <w:t>，</w:t>
      </w:r>
      <w:r>
        <w:rPr>
          <w:rStyle w:val="16"/>
          <w:rFonts w:hint="eastAsia" w:ascii="仿宋_GB2312" w:hAnsi="宋体" w:eastAsia="仿宋_GB2312" w:cs="Times New Roman"/>
          <w:b w:val="0"/>
          <w:spacing w:val="-4"/>
          <w:sz w:val="28"/>
          <w:szCs w:val="28"/>
        </w:rPr>
        <w:t>固定资产台账未及时与账面资产金额对账且末与实物进行清点及及时清理处置报废资产导致资产台账与账面资产金额存在差异,固定资产管理继续加强中。</w:t>
      </w:r>
    </w:p>
    <w:p>
      <w:pPr>
        <w:pStyle w:val="3"/>
        <w:spacing w:line="360" w:lineRule="auto"/>
        <w:rPr>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Style w:val="16"/>
          <w:rFonts w:ascii="仿宋" w:hAnsi="仿宋" w:eastAsia="仿宋"/>
          <w:b/>
          <w:bCs/>
        </w:rPr>
      </w:pPr>
      <w:bookmarkStart w:id="29" w:name="_Toc70450319"/>
      <w:r>
        <w:rPr>
          <w:rStyle w:val="16"/>
          <w:rFonts w:hint="eastAsia" w:ascii="仿宋" w:hAnsi="仿宋" w:eastAsia="仿宋"/>
          <w:b/>
          <w:bCs/>
        </w:rPr>
        <w:t>（一）改进措施</w:t>
      </w:r>
      <w:bookmarkEnd w:id="29"/>
    </w:p>
    <w:p>
      <w:pPr>
        <w:spacing w:line="360" w:lineRule="auto"/>
        <w:ind w:firstLine="544" w:firstLineChars="200"/>
        <w:rPr>
          <w:rStyle w:val="16"/>
          <w:rFonts w:ascii="仿宋_GB2312" w:hAnsi="楷体" w:eastAsia="仿宋_GB2312"/>
          <w:b w:val="0"/>
          <w:spacing w:val="-4"/>
          <w:sz w:val="28"/>
          <w:szCs w:val="28"/>
        </w:rPr>
      </w:pPr>
      <w:bookmarkStart w:id="30" w:name="_Toc70450320"/>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pStyle w:val="4"/>
        <w:spacing w:line="360" w:lineRule="auto"/>
        <w:rPr>
          <w:rStyle w:val="16"/>
          <w:rFonts w:hint="eastAsia" w:ascii="仿宋_GB2312" w:hAnsi="楷体" w:eastAsia="仿宋_GB2312"/>
          <w:b w:val="0"/>
          <w:bCs/>
          <w:spacing w:val="-4"/>
          <w:sz w:val="28"/>
          <w:szCs w:val="28"/>
        </w:rPr>
      </w:pPr>
      <w:r>
        <w:rPr>
          <w:rStyle w:val="16"/>
          <w:rFonts w:hint="eastAsia" w:ascii="仿宋_GB2312" w:hAnsi="楷体" w:eastAsia="仿宋_GB2312"/>
          <w:b w:val="0"/>
          <w:bCs/>
          <w:spacing w:val="-4"/>
          <w:sz w:val="28"/>
          <w:szCs w:val="28"/>
        </w:rPr>
        <w:t>4、完善管理制度,进-步加强资产管理。严格按照《固定资产管理办法》的规定，加强固定资产管理,及时登记、更新台账，加强资产卡片管理,对各类实物资产进行全面盘点,确保账账、账实相符。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r>
        <w:rPr>
          <w:rStyle w:val="16"/>
          <w:rFonts w:hint="eastAsia" w:ascii="仿宋" w:hAnsi="仿宋" w:eastAsia="仿宋"/>
          <w:b/>
          <w:bCs/>
        </w:rPr>
        <w:t>（二）建议</w:t>
      </w:r>
      <w:bookmarkEnd w:id="30"/>
    </w:p>
    <w:p>
      <w:pPr>
        <w:spacing w:line="360" w:lineRule="auto"/>
        <w:ind w:firstLine="544" w:firstLineChars="200"/>
        <w:rPr>
          <w:rStyle w:val="16"/>
          <w:rFonts w:ascii="仿宋_GB2312" w:hAnsi="楷体" w:eastAsia="仿宋_GB2312"/>
          <w:b w:val="0"/>
          <w:spacing w:val="-4"/>
          <w:sz w:val="28"/>
          <w:szCs w:val="28"/>
        </w:rPr>
      </w:pPr>
      <w:bookmarkStart w:id="31" w:name="_Toc70450321"/>
      <w:r>
        <w:rPr>
          <w:rStyle w:val="16"/>
          <w:rFonts w:hint="eastAsia" w:ascii="仿宋_GB2312" w:hAnsi="楷体" w:eastAsia="仿宋_GB2312"/>
          <w:b w:val="0"/>
          <w:spacing w:val="-4"/>
          <w:sz w:val="28"/>
          <w:szCs w:val="28"/>
        </w:rPr>
        <w:t>（1）加强学习。进一步明确如何参照考核体系，科学合理设定绩效目标，充分发挥预算绩效管理工作效用。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（2）财务上，会计核算要更加详细，为本单位各项工作的开展、总结、评估提供有效数据资料支撑,为各项业务工作更好的开展提供帮助。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（4）按时间进度分解资金使用计划。专项资金的使用，要事前做计划，事中进行控制，事后总结提高。合理安排资金使用,充分体现资金投向的目标和效益。</w:t>
      </w:r>
    </w:p>
    <w:p>
      <w:pPr>
        <w:pStyle w:val="12"/>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12"/>
        <w:pageBreakBefore w:val="0"/>
        <w:widowControl/>
        <w:kinsoku/>
        <w:wordWrap/>
        <w:overflowPunct/>
        <w:topLinePunct w:val="0"/>
        <w:autoSpaceDE/>
        <w:autoSpaceDN/>
        <w:bidi w:val="0"/>
        <w:adjustRightInd/>
        <w:spacing w:before="40" w:beforeAutospacing="0" w:after="0" w:afterAutospacing="0" w:line="560" w:lineRule="exact"/>
        <w:ind w:firstLine="723" w:firstLineChars="200"/>
        <w:jc w:val="both"/>
        <w:rPr>
          <w:rStyle w:val="16"/>
          <w:rFonts w:hint="eastAsia" w:ascii="仿宋" w:hAnsi="仿宋" w:eastAsia="仿宋"/>
          <w:b/>
          <w:bCs/>
          <w:sz w:val="36"/>
          <w:szCs w:val="36"/>
        </w:rPr>
      </w:pPr>
      <w:r>
        <w:rPr>
          <w:rStyle w:val="16"/>
          <w:rFonts w:hint="eastAsia" w:ascii="仿宋" w:hAnsi="仿宋" w:eastAsia="仿宋"/>
          <w:b/>
          <w:bCs/>
          <w:sz w:val="36"/>
          <w:szCs w:val="36"/>
          <w:lang w:val="en-US" w:eastAsia="zh-CN"/>
        </w:rPr>
        <w:t>八、</w:t>
      </w:r>
      <w:r>
        <w:rPr>
          <w:rStyle w:val="16"/>
          <w:rFonts w:hint="eastAsia" w:ascii="仿宋" w:hAnsi="仿宋" w:eastAsia="仿宋"/>
          <w:b/>
          <w:bCs/>
          <w:sz w:val="36"/>
          <w:szCs w:val="36"/>
        </w:rPr>
        <w:t>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tbl>
      <w:tblPr>
        <w:tblStyle w:val="14"/>
        <w:tblpPr w:leftFromText="180" w:rightFromText="180" w:vertAnchor="text" w:horzAnchor="page" w:tblpX="1328" w:tblpY="1252"/>
        <w:tblOverlap w:val="never"/>
        <w:tblW w:w="94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1"/>
        <w:gridCol w:w="1142"/>
        <w:gridCol w:w="1553"/>
        <w:gridCol w:w="1212"/>
        <w:gridCol w:w="828"/>
        <w:gridCol w:w="412"/>
        <w:gridCol w:w="908"/>
        <w:gridCol w:w="1020"/>
        <w:gridCol w:w="1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9408" w:type="dxa"/>
            <w:gridSpan w:val="9"/>
            <w:tcBorders>
              <w:top w:val="nil"/>
              <w:left w:val="nil"/>
              <w:bottom w:val="nil"/>
              <w:right w:val="nil"/>
            </w:tcBorders>
            <w:shd w:val="clear" w:color="auto" w:fill="auto"/>
            <w:noWrap/>
            <w:vAlign w:val="center"/>
          </w:tcPr>
          <w:p>
            <w:pPr>
              <w:keepNext w:val="0"/>
              <w:keepLines w:val="0"/>
              <w:widowControl/>
              <w:suppressLineNumbers w:val="0"/>
              <w:ind w:firstLine="2570" w:firstLineChars="800"/>
              <w:jc w:val="both"/>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408"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部门（单位）名称</w:t>
            </w:r>
          </w:p>
        </w:tc>
        <w:tc>
          <w:tcPr>
            <w:tcW w:w="76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特克斯县第六小学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 w:hRule="atLeast"/>
        </w:trPr>
        <w:tc>
          <w:tcPr>
            <w:tcW w:w="5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任务名称</w:t>
            </w:r>
          </w:p>
        </w:tc>
        <w:tc>
          <w:tcPr>
            <w:tcW w:w="15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主要内容</w:t>
            </w: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预算金额（万元）</w:t>
            </w:r>
          </w:p>
        </w:tc>
        <w:tc>
          <w:tcPr>
            <w:tcW w:w="36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6"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4"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人员保障</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用于保障部门单位人员发放工资福利支出及对个人和家庭补助 </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660.42</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660.42</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660.42</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660.42</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8"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金额合计</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660.42</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660.42</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660.42</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660.42</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5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9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预期目标</w:t>
            </w:r>
          </w:p>
        </w:tc>
        <w:tc>
          <w:tcPr>
            <w:tcW w:w="49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0"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39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目标1：确保人员经费的合理分配。目标2：完成每年教学任务。目标3：全面推进各类教师能力提升培训，加强教师队伍建设；目标4：做好教育教学管理工作</w:t>
            </w:r>
          </w:p>
        </w:tc>
        <w:tc>
          <w:tcPr>
            <w:tcW w:w="49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目标1：确保人员经费的合理分配。目标2：完成每年教学任务。目标3：全面推进各类教师能力提升培训，加强教师队伍建设；目标4：做好教育教学管理工作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5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在职人员数</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=63人</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人员工资发放、社保缴纳准确性</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=100%</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人员工资发放、社保缴纳及时性</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=100%</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55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人员工资，社保，住房等人均支出标准</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≤104829元/人/年</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104829元/人/年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5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取暖费人均支出标准</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≤1300元/人/年</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1300元/人/年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4"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55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保证教学任务及时完成</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有效保证</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有效保证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5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保证教师队伍稳定</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有效保证</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有效保证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教师满意度</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bl>
    <w:p>
      <w:pPr>
        <w:pStyle w:val="12"/>
        <w:pageBreakBefore w:val="0"/>
        <w:widowControl/>
        <w:kinsoku/>
        <w:wordWrap/>
        <w:overflowPunct/>
        <w:topLinePunct w:val="0"/>
        <w:autoSpaceDE/>
        <w:autoSpaceDN/>
        <w:bidi w:val="0"/>
        <w:adjustRightInd/>
        <w:spacing w:before="40" w:beforeAutospacing="0" w:after="0" w:afterAutospacing="0" w:line="560" w:lineRule="exact"/>
        <w:ind w:firstLine="723" w:firstLineChars="200"/>
        <w:jc w:val="both"/>
        <w:rPr>
          <w:rStyle w:val="16"/>
          <w:rFonts w:hint="eastAsia" w:ascii="仿宋" w:hAnsi="仿宋" w:eastAsia="仿宋"/>
          <w:b/>
          <w:bCs/>
          <w:sz w:val="36"/>
          <w:szCs w:val="36"/>
        </w:rPr>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r>
        <w:br w:type="page"/>
      </w:r>
    </w:p>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B257F"/>
    <w:multiLevelType w:val="singleLevel"/>
    <w:tmpl w:val="83EB257F"/>
    <w:lvl w:ilvl="0" w:tentative="0">
      <w:start w:val="6"/>
      <w:numFmt w:val="chineseCounting"/>
      <w:suff w:val="nothing"/>
      <w:lvlText w:val="%1、"/>
      <w:lvlJc w:val="left"/>
      <w:rPr>
        <w:rFonts w:hint="eastAsia"/>
      </w:rPr>
    </w:lvl>
  </w:abstractNum>
  <w:abstractNum w:abstractNumId="1">
    <w:nsid w:val="9C699945"/>
    <w:multiLevelType w:val="singleLevel"/>
    <w:tmpl w:val="9C699945"/>
    <w:lvl w:ilvl="0" w:tentative="0">
      <w:start w:val="1"/>
      <w:numFmt w:val="decimal"/>
      <w:suff w:val="nothing"/>
      <w:lvlText w:val="%1、"/>
      <w:lvlJc w:val="left"/>
      <w:pPr>
        <w:ind w:left="-12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E4N2Y0NDZiNjYxN2ZmMjI1YzMxYmQ4NWIxYjdjMW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4794C"/>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DE5743"/>
    <w:rsid w:val="00E213C7"/>
    <w:rsid w:val="00E41A31"/>
    <w:rsid w:val="00E7188B"/>
    <w:rsid w:val="00EA4967"/>
    <w:rsid w:val="00F006BD"/>
    <w:rsid w:val="00F17550"/>
    <w:rsid w:val="00F27120"/>
    <w:rsid w:val="00F341E0"/>
    <w:rsid w:val="00F36401"/>
    <w:rsid w:val="00F42445"/>
    <w:rsid w:val="00F44FCC"/>
    <w:rsid w:val="00F74974"/>
    <w:rsid w:val="00F829DE"/>
    <w:rsid w:val="00F84215"/>
    <w:rsid w:val="00F91CBB"/>
    <w:rsid w:val="024708E6"/>
    <w:rsid w:val="02CF7A3A"/>
    <w:rsid w:val="030A6079"/>
    <w:rsid w:val="03AB03DB"/>
    <w:rsid w:val="060F45F1"/>
    <w:rsid w:val="061F4851"/>
    <w:rsid w:val="062E0F1B"/>
    <w:rsid w:val="09870E63"/>
    <w:rsid w:val="0A5371A2"/>
    <w:rsid w:val="0ADF1935"/>
    <w:rsid w:val="0B055904"/>
    <w:rsid w:val="0BF16C73"/>
    <w:rsid w:val="0E9953A0"/>
    <w:rsid w:val="0E9A5E97"/>
    <w:rsid w:val="0F1E201B"/>
    <w:rsid w:val="0F6C0D91"/>
    <w:rsid w:val="0F8A6C0E"/>
    <w:rsid w:val="10BA29A5"/>
    <w:rsid w:val="11365128"/>
    <w:rsid w:val="11B322D4"/>
    <w:rsid w:val="11F057C5"/>
    <w:rsid w:val="13FD3CDB"/>
    <w:rsid w:val="15E73797"/>
    <w:rsid w:val="1749370E"/>
    <w:rsid w:val="17DB03CB"/>
    <w:rsid w:val="1C6472C5"/>
    <w:rsid w:val="1D097B94"/>
    <w:rsid w:val="1E3173A3"/>
    <w:rsid w:val="1EB60E4D"/>
    <w:rsid w:val="1F8A4FBC"/>
    <w:rsid w:val="20F927EF"/>
    <w:rsid w:val="2232097D"/>
    <w:rsid w:val="22E9024C"/>
    <w:rsid w:val="23764487"/>
    <w:rsid w:val="267267AA"/>
    <w:rsid w:val="27DC6B14"/>
    <w:rsid w:val="2AC74B8A"/>
    <w:rsid w:val="2BEA3971"/>
    <w:rsid w:val="2E0F72C8"/>
    <w:rsid w:val="2FF62D3D"/>
    <w:rsid w:val="303A6168"/>
    <w:rsid w:val="303F594F"/>
    <w:rsid w:val="30827049"/>
    <w:rsid w:val="31D9592F"/>
    <w:rsid w:val="33484B1B"/>
    <w:rsid w:val="34281E6E"/>
    <w:rsid w:val="349B3370"/>
    <w:rsid w:val="353C423D"/>
    <w:rsid w:val="373560F4"/>
    <w:rsid w:val="37B4487F"/>
    <w:rsid w:val="37FB6A56"/>
    <w:rsid w:val="393E49CC"/>
    <w:rsid w:val="3B5B5607"/>
    <w:rsid w:val="3B7D37CF"/>
    <w:rsid w:val="3EA73FAE"/>
    <w:rsid w:val="3EDF45CD"/>
    <w:rsid w:val="3F56236D"/>
    <w:rsid w:val="41984E77"/>
    <w:rsid w:val="4317695A"/>
    <w:rsid w:val="43452E25"/>
    <w:rsid w:val="437614FC"/>
    <w:rsid w:val="449956EF"/>
    <w:rsid w:val="45AB2CE7"/>
    <w:rsid w:val="45AC718B"/>
    <w:rsid w:val="462705C0"/>
    <w:rsid w:val="46A77952"/>
    <w:rsid w:val="471552C6"/>
    <w:rsid w:val="47E4068A"/>
    <w:rsid w:val="481E6465"/>
    <w:rsid w:val="4B6C2AE7"/>
    <w:rsid w:val="4CFD466D"/>
    <w:rsid w:val="4D4D0F3E"/>
    <w:rsid w:val="4F3E4981"/>
    <w:rsid w:val="4F601EA3"/>
    <w:rsid w:val="504601DC"/>
    <w:rsid w:val="51923FB1"/>
    <w:rsid w:val="52A35472"/>
    <w:rsid w:val="53AE0572"/>
    <w:rsid w:val="5523460A"/>
    <w:rsid w:val="5625209A"/>
    <w:rsid w:val="58B008E9"/>
    <w:rsid w:val="5AEC53E4"/>
    <w:rsid w:val="5CE733C3"/>
    <w:rsid w:val="5D6F38AA"/>
    <w:rsid w:val="5E021BE6"/>
    <w:rsid w:val="5E4D2736"/>
    <w:rsid w:val="5E7D18AB"/>
    <w:rsid w:val="5E873E9A"/>
    <w:rsid w:val="5FDD4D84"/>
    <w:rsid w:val="60002155"/>
    <w:rsid w:val="62367283"/>
    <w:rsid w:val="629D1EDE"/>
    <w:rsid w:val="64DE2339"/>
    <w:rsid w:val="66352235"/>
    <w:rsid w:val="69C14720"/>
    <w:rsid w:val="6D6930C0"/>
    <w:rsid w:val="6DCF4F15"/>
    <w:rsid w:val="6F6E04B7"/>
    <w:rsid w:val="71535E5D"/>
    <w:rsid w:val="716963F3"/>
    <w:rsid w:val="748871FC"/>
    <w:rsid w:val="770519A8"/>
    <w:rsid w:val="772E0EFE"/>
    <w:rsid w:val="7A590988"/>
    <w:rsid w:val="7B95700D"/>
    <w:rsid w:val="7E7C6E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5888</Words>
  <Characters>6326</Characters>
  <Lines>72</Lines>
  <Paragraphs>20</Paragraphs>
  <TotalTime>1</TotalTime>
  <ScaleCrop>false</ScaleCrop>
  <LinksUpToDate>false</LinksUpToDate>
  <CharactersWithSpaces>6353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6</cp:lastModifiedBy>
  <dcterms:modified xsi:type="dcterms:W3CDTF">2022-05-26T07:43:40Z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1E00B23A39ED470D8EAF0AB35FEA7E67</vt:lpwstr>
  </property>
</Properties>
</file>